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AE936D" w14:textId="284F4414" w:rsidR="00034AB8" w:rsidRPr="00CE0424" w:rsidRDefault="00034AB8" w:rsidP="00034AB8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96</w:t>
      </w:r>
      <w:r w:rsidRPr="00CE0424">
        <w:tab/>
      </w:r>
      <w:r>
        <w:rPr>
          <w:sz w:val="32"/>
          <w:szCs w:val="32"/>
        </w:rPr>
        <w:t>R1-</w:t>
      </w:r>
      <w:r w:rsidR="00F10C3C" w:rsidRPr="00F10C3C">
        <w:rPr>
          <w:sz w:val="32"/>
          <w:szCs w:val="32"/>
        </w:rPr>
        <w:t>1903176</w:t>
      </w:r>
    </w:p>
    <w:p w14:paraId="505AA6D8" w14:textId="77777777" w:rsidR="00034AB8" w:rsidRDefault="00034AB8" w:rsidP="00034AB8">
      <w:pPr>
        <w:pStyle w:val="3GPPHeader"/>
      </w:pPr>
      <w:r>
        <w:t>Athens</w:t>
      </w:r>
      <w:r w:rsidRPr="00CE0BF7">
        <w:t xml:space="preserve">, </w:t>
      </w:r>
      <w:r>
        <w:t>Greece</w:t>
      </w:r>
      <w:r w:rsidRPr="00CE0BF7">
        <w:t xml:space="preserve"> </w:t>
      </w:r>
      <w:r>
        <w:t>February 25</w:t>
      </w:r>
      <w:r>
        <w:rPr>
          <w:vertAlign w:val="superscript"/>
        </w:rPr>
        <w:t>th</w:t>
      </w:r>
      <w:r w:rsidRPr="00CE0BF7">
        <w:t xml:space="preserve"> – </w:t>
      </w:r>
      <w:r>
        <w:t>1</w:t>
      </w:r>
      <w:r>
        <w:rPr>
          <w:vertAlign w:val="superscript"/>
        </w:rPr>
        <w:t>st</w:t>
      </w:r>
      <w:r w:rsidRPr="00CE0BF7">
        <w:t xml:space="preserve"> </w:t>
      </w:r>
      <w:r>
        <w:t xml:space="preserve">March 2019                           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65010E59" w:rsidR="00E90E49" w:rsidRPr="00034AB8" w:rsidRDefault="00E90E49" w:rsidP="00311702">
      <w:pPr>
        <w:pStyle w:val="3GPPHeader"/>
        <w:rPr>
          <w:sz w:val="22"/>
        </w:rPr>
      </w:pPr>
      <w:r w:rsidRPr="00E44C46">
        <w:rPr>
          <w:sz w:val="22"/>
          <w:szCs w:val="22"/>
          <w:lang w:val="en-US"/>
        </w:rPr>
        <w:t>Agenda Item:</w:t>
      </w:r>
      <w:r w:rsidRPr="00E44C46">
        <w:rPr>
          <w:sz w:val="22"/>
          <w:szCs w:val="22"/>
          <w:lang w:val="en-US"/>
        </w:rPr>
        <w:tab/>
      </w:r>
      <w:r w:rsidR="00034AB8">
        <w:rPr>
          <w:sz w:val="22"/>
        </w:rPr>
        <w:t>7.2.4.1.5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7E5550B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34AB8">
        <w:rPr>
          <w:sz w:val="22"/>
        </w:rPr>
        <w:t xml:space="preserve">On L1 measurements for </w:t>
      </w:r>
      <w:r w:rsidR="000D3EA0">
        <w:rPr>
          <w:sz w:val="22"/>
        </w:rPr>
        <w:t xml:space="preserve">NR </w:t>
      </w:r>
      <w:r w:rsidR="00034AB8">
        <w:rPr>
          <w:sz w:val="22"/>
        </w:rPr>
        <w:t>sidelink</w:t>
      </w:r>
    </w:p>
    <w:p w14:paraId="58D4CB5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034AB8">
        <w:rPr>
          <w:sz w:val="22"/>
          <w:szCs w:val="22"/>
        </w:rPr>
        <w:t>Discussion, Decision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4BE7BD9" w14:textId="77777777" w:rsidR="00034AB8" w:rsidRDefault="00034AB8" w:rsidP="00034AB8">
      <w:pPr>
        <w:rPr>
          <w:rFonts w:ascii="Arial" w:eastAsia="Calibri" w:hAnsi="Arial" w:cs="Arial"/>
          <w:lang w:eastAsia="en-GB"/>
        </w:rPr>
      </w:pPr>
      <w:r w:rsidRPr="00DE45C2">
        <w:rPr>
          <w:rFonts w:ascii="Arial" w:eastAsia="Calibri" w:hAnsi="Arial" w:cs="Arial"/>
          <w:lang w:eastAsia="en-GB"/>
        </w:rPr>
        <w:t xml:space="preserve">In </w:t>
      </w:r>
      <w:r w:rsidRPr="00EA089A">
        <w:rPr>
          <w:rFonts w:ascii="Arial" w:eastAsia="Calibri" w:hAnsi="Arial" w:cs="Arial"/>
          <w:lang w:eastAsia="en-GB"/>
        </w:rPr>
        <w:t>RAN1# 94bis</w:t>
      </w:r>
      <w:r w:rsidRPr="00DE45C2">
        <w:rPr>
          <w:rFonts w:ascii="Arial" w:eastAsia="Calibri" w:hAnsi="Arial" w:cs="Arial"/>
          <w:lang w:eastAsia="en-GB"/>
        </w:rPr>
        <w:t>,</w:t>
      </w:r>
      <w:r>
        <w:rPr>
          <w:rFonts w:ascii="Arial" w:eastAsia="Calibri" w:hAnsi="Arial" w:cs="Arial"/>
          <w:lang w:eastAsia="en-GB"/>
        </w:rPr>
        <w:t xml:space="preserve"> the following was agreed.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4AB8" w14:paraId="3C81474A" w14:textId="77777777" w:rsidTr="00F804BB">
        <w:trPr>
          <w:trHeight w:val="771"/>
        </w:trPr>
        <w:tc>
          <w:tcPr>
            <w:tcW w:w="9629" w:type="dxa"/>
          </w:tcPr>
          <w:p w14:paraId="6AA20055" w14:textId="77777777" w:rsidR="00034AB8" w:rsidRPr="00C22BC3" w:rsidRDefault="00034AB8" w:rsidP="00F804BB">
            <w:pPr>
              <w:spacing w:before="240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C22BC3">
              <w:rPr>
                <w:rFonts w:ascii="Arial" w:hAnsi="Arial" w:cs="Arial"/>
                <w:sz w:val="20"/>
                <w:szCs w:val="20"/>
                <w:highlight w:val="green"/>
                <w:lang w:eastAsia="x-none"/>
              </w:rPr>
              <w:t>Agreements</w:t>
            </w:r>
            <w:r w:rsidRPr="00C22BC3">
              <w:rPr>
                <w:rFonts w:ascii="Arial" w:hAnsi="Arial" w:cs="Arial"/>
                <w:sz w:val="20"/>
                <w:szCs w:val="20"/>
                <w:lang w:eastAsia="x-none"/>
              </w:rPr>
              <w:t>:</w:t>
            </w:r>
          </w:p>
          <w:p w14:paraId="63F3A82D" w14:textId="77777777" w:rsidR="00034AB8" w:rsidRPr="00EA089A" w:rsidRDefault="00034AB8" w:rsidP="00F804BB">
            <w:pPr>
              <w:pStyle w:val="LGTdoc"/>
              <w:numPr>
                <w:ilvl w:val="0"/>
                <w:numId w:val="23"/>
              </w:numPr>
              <w:spacing w:after="120"/>
              <w:jc w:val="left"/>
              <w:rPr>
                <w:rFonts w:ascii="Arial" w:eastAsia="Times New Roman" w:hAnsi="Arial"/>
                <w:kern w:val="0"/>
                <w:sz w:val="20"/>
                <w:szCs w:val="20"/>
                <w:lang w:eastAsia="en-US"/>
              </w:rPr>
            </w:pPr>
            <w:r w:rsidRPr="00EA089A">
              <w:rPr>
                <w:rFonts w:ascii="Arial" w:eastAsia="Times New Roman" w:hAnsi="Arial"/>
                <w:kern w:val="0"/>
                <w:sz w:val="20"/>
                <w:szCs w:val="20"/>
                <w:lang w:eastAsia="en-US"/>
              </w:rPr>
              <w:t>In the context of sidelink CSI, RAN1 to study further which of the following information is useful in sidelink operation when it is available at the transmitter.</w:t>
            </w:r>
          </w:p>
          <w:p w14:paraId="1587A463" w14:textId="77777777" w:rsidR="00034AB8" w:rsidRPr="00EA089A" w:rsidRDefault="00034AB8" w:rsidP="00F804BB">
            <w:pPr>
              <w:pStyle w:val="LGTdoc"/>
              <w:numPr>
                <w:ilvl w:val="1"/>
                <w:numId w:val="23"/>
              </w:numPr>
              <w:spacing w:after="120"/>
              <w:jc w:val="left"/>
              <w:rPr>
                <w:rFonts w:ascii="Arial" w:eastAsia="Times New Roman" w:hAnsi="Arial"/>
                <w:kern w:val="0"/>
                <w:sz w:val="20"/>
                <w:szCs w:val="20"/>
                <w:lang w:eastAsia="en-US"/>
              </w:rPr>
            </w:pPr>
            <w:r w:rsidRPr="00EA089A">
              <w:rPr>
                <w:rFonts w:ascii="Arial" w:eastAsia="Times New Roman" w:hAnsi="Arial"/>
                <w:kern w:val="0"/>
                <w:sz w:val="20"/>
                <w:szCs w:val="20"/>
                <w:lang w:eastAsia="en-US"/>
              </w:rPr>
              <w:t>Information representing the channel between the transmitter and receiver</w:t>
            </w:r>
          </w:p>
          <w:p w14:paraId="0FBA1BDF" w14:textId="77777777" w:rsidR="00034AB8" w:rsidRPr="00EA089A" w:rsidRDefault="00034AB8" w:rsidP="00F804BB">
            <w:pPr>
              <w:pStyle w:val="LGTdoc"/>
              <w:numPr>
                <w:ilvl w:val="1"/>
                <w:numId w:val="23"/>
              </w:numPr>
              <w:spacing w:after="120"/>
              <w:jc w:val="left"/>
              <w:rPr>
                <w:rFonts w:ascii="Arial" w:eastAsia="Times New Roman" w:hAnsi="Arial"/>
                <w:kern w:val="0"/>
                <w:sz w:val="20"/>
                <w:szCs w:val="20"/>
                <w:lang w:eastAsia="en-US"/>
              </w:rPr>
            </w:pPr>
            <w:r w:rsidRPr="00EA089A">
              <w:rPr>
                <w:rFonts w:ascii="Arial" w:eastAsia="Times New Roman" w:hAnsi="Arial"/>
                <w:kern w:val="0"/>
                <w:sz w:val="20"/>
                <w:szCs w:val="20"/>
                <w:lang w:eastAsia="en-US"/>
              </w:rPr>
              <w:t>Information representing the interference at receiver</w:t>
            </w:r>
          </w:p>
          <w:p w14:paraId="71CBEC70" w14:textId="77777777" w:rsidR="00034AB8" w:rsidRPr="00EA089A" w:rsidRDefault="00034AB8" w:rsidP="00F804BB">
            <w:pPr>
              <w:pStyle w:val="LGTdoc"/>
              <w:numPr>
                <w:ilvl w:val="1"/>
                <w:numId w:val="23"/>
              </w:numPr>
              <w:spacing w:after="120"/>
              <w:jc w:val="left"/>
              <w:rPr>
                <w:rFonts w:ascii="Arial" w:eastAsia="Times New Roman" w:hAnsi="Arial"/>
                <w:kern w:val="0"/>
                <w:sz w:val="20"/>
                <w:szCs w:val="20"/>
                <w:lang w:eastAsia="en-US"/>
              </w:rPr>
            </w:pPr>
            <w:r w:rsidRPr="00EA089A">
              <w:rPr>
                <w:rFonts w:ascii="Arial" w:eastAsia="Times New Roman" w:hAnsi="Arial"/>
                <w:kern w:val="0"/>
                <w:sz w:val="20"/>
                <w:szCs w:val="20"/>
                <w:lang w:eastAsia="en-US"/>
              </w:rPr>
              <w:t>Examples for this information are</w:t>
            </w:r>
          </w:p>
          <w:p w14:paraId="373A67E5" w14:textId="77777777" w:rsidR="00034AB8" w:rsidRPr="00EA089A" w:rsidRDefault="00034AB8" w:rsidP="00F804BB">
            <w:pPr>
              <w:pStyle w:val="LGTdoc"/>
              <w:numPr>
                <w:ilvl w:val="2"/>
                <w:numId w:val="23"/>
              </w:numPr>
              <w:spacing w:after="120"/>
              <w:jc w:val="left"/>
              <w:rPr>
                <w:rFonts w:ascii="Arial" w:eastAsia="Times New Roman" w:hAnsi="Arial"/>
                <w:kern w:val="0"/>
                <w:sz w:val="20"/>
                <w:szCs w:val="20"/>
                <w:lang w:eastAsia="en-US"/>
              </w:rPr>
            </w:pPr>
            <w:r w:rsidRPr="00EA089A">
              <w:rPr>
                <w:rFonts w:ascii="Arial" w:eastAsia="Times New Roman" w:hAnsi="Arial"/>
                <w:kern w:val="0"/>
                <w:sz w:val="20"/>
                <w:szCs w:val="20"/>
                <w:lang w:eastAsia="en-US"/>
              </w:rPr>
              <w:t>CQI, PMI, RI, RSRP, RSRQ, pathgain/pathloss, SRI, CRI, interference condition, vehicle motion</w:t>
            </w:r>
          </w:p>
          <w:p w14:paraId="56B0828C" w14:textId="77777777" w:rsidR="00034AB8" w:rsidRPr="00EA089A" w:rsidRDefault="00034AB8" w:rsidP="00F804BB">
            <w:pPr>
              <w:pStyle w:val="LGTdoc"/>
              <w:numPr>
                <w:ilvl w:val="1"/>
                <w:numId w:val="23"/>
              </w:numPr>
              <w:spacing w:after="120"/>
              <w:jc w:val="left"/>
              <w:rPr>
                <w:rFonts w:ascii="Arial" w:eastAsia="Times New Roman" w:hAnsi="Arial"/>
                <w:kern w:val="0"/>
                <w:sz w:val="20"/>
                <w:szCs w:val="20"/>
                <w:lang w:eastAsia="en-US"/>
              </w:rPr>
            </w:pPr>
            <w:r w:rsidRPr="00EA089A">
              <w:rPr>
                <w:rFonts w:ascii="Arial" w:eastAsia="Times New Roman" w:hAnsi="Arial"/>
                <w:kern w:val="0"/>
                <w:sz w:val="20"/>
                <w:szCs w:val="20"/>
                <w:lang w:eastAsia="en-US"/>
              </w:rPr>
              <w:t>FFS including</w:t>
            </w:r>
          </w:p>
          <w:p w14:paraId="4C8D2434" w14:textId="77777777" w:rsidR="00034AB8" w:rsidRPr="00EA089A" w:rsidRDefault="00034AB8" w:rsidP="00F804BB">
            <w:pPr>
              <w:pStyle w:val="LGTdoc"/>
              <w:numPr>
                <w:ilvl w:val="2"/>
                <w:numId w:val="23"/>
              </w:numPr>
              <w:spacing w:after="120"/>
              <w:jc w:val="left"/>
              <w:rPr>
                <w:rFonts w:ascii="Arial" w:eastAsia="Times New Roman" w:hAnsi="Arial"/>
                <w:kern w:val="0"/>
                <w:sz w:val="20"/>
                <w:szCs w:val="20"/>
                <w:lang w:eastAsia="en-US"/>
              </w:rPr>
            </w:pPr>
            <w:r w:rsidRPr="00EA089A">
              <w:rPr>
                <w:rFonts w:ascii="Arial" w:eastAsia="Times New Roman" w:hAnsi="Arial"/>
                <w:kern w:val="0"/>
                <w:sz w:val="20"/>
                <w:szCs w:val="20"/>
                <w:lang w:eastAsia="en-US"/>
              </w:rPr>
              <w:t>Such information can be acquired using reciprocity or feedback</w:t>
            </w:r>
          </w:p>
          <w:p w14:paraId="5DB2B595" w14:textId="77777777" w:rsidR="00034AB8" w:rsidRPr="00EA089A" w:rsidRDefault="00034AB8" w:rsidP="00F804BB">
            <w:pPr>
              <w:pStyle w:val="LGTdoc"/>
              <w:numPr>
                <w:ilvl w:val="2"/>
                <w:numId w:val="23"/>
              </w:numPr>
              <w:spacing w:after="120"/>
              <w:jc w:val="left"/>
              <w:rPr>
                <w:rFonts w:ascii="Arial" w:eastAsia="Times New Roman" w:hAnsi="Arial"/>
                <w:kern w:val="0"/>
                <w:sz w:val="20"/>
                <w:szCs w:val="20"/>
                <w:lang w:eastAsia="en-US"/>
              </w:rPr>
            </w:pPr>
            <w:r w:rsidRPr="00EA089A">
              <w:rPr>
                <w:rFonts w:ascii="Arial" w:eastAsia="Times New Roman" w:hAnsi="Arial"/>
                <w:kern w:val="0"/>
                <w:sz w:val="20"/>
                <w:szCs w:val="20"/>
                <w:lang w:eastAsia="en-US"/>
              </w:rPr>
              <w:t>Time scale of the information</w:t>
            </w:r>
          </w:p>
          <w:p w14:paraId="2BECF50A" w14:textId="77777777" w:rsidR="00034AB8" w:rsidRPr="001474C5" w:rsidRDefault="00034AB8" w:rsidP="006A0276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rFonts w:ascii="Arial" w:eastAsia="Times New Roman" w:hAnsi="Arial"/>
                <w:sz w:val="20"/>
                <w:szCs w:val="20"/>
              </w:rPr>
            </w:pPr>
            <w:r w:rsidRPr="00EA089A">
              <w:rPr>
                <w:rFonts w:ascii="Arial" w:eastAsia="Times New Roman" w:hAnsi="Arial"/>
                <w:sz w:val="20"/>
                <w:szCs w:val="20"/>
              </w:rPr>
              <w:t>Which information is useful in which operation and scenario</w:t>
            </w:r>
          </w:p>
        </w:tc>
      </w:tr>
    </w:tbl>
    <w:p w14:paraId="4698C6BC" w14:textId="77777777" w:rsidR="00034AB8" w:rsidRDefault="00034AB8" w:rsidP="00034AB8">
      <w:pPr>
        <w:pStyle w:val="BodyText"/>
      </w:pPr>
    </w:p>
    <w:p w14:paraId="6E0D06DE" w14:textId="77777777" w:rsidR="00034AB8" w:rsidRPr="00D54DCD" w:rsidRDefault="00034AB8" w:rsidP="00034AB8">
      <w:pPr>
        <w:jc w:val="both"/>
        <w:rPr>
          <w:rFonts w:ascii="Arial" w:eastAsia="Calibri" w:hAnsi="Arial" w:cs="Arial"/>
          <w:lang w:eastAsia="en-GB"/>
        </w:rPr>
      </w:pPr>
      <w:r w:rsidRPr="00D54DCD">
        <w:rPr>
          <w:rFonts w:ascii="Arial" w:eastAsia="Calibri" w:hAnsi="Arial" w:cs="Arial"/>
          <w:lang w:eastAsia="en-GB"/>
        </w:rPr>
        <w:t xml:space="preserve">In </w:t>
      </w:r>
      <w:r w:rsidRPr="00EA089A">
        <w:rPr>
          <w:rFonts w:ascii="Arial" w:eastAsia="Calibri" w:hAnsi="Arial" w:cs="Arial"/>
          <w:lang w:eastAsia="en-GB"/>
        </w:rPr>
        <w:t>RAN1#ah1901</w:t>
      </w:r>
      <w:r w:rsidRPr="00D54DCD">
        <w:rPr>
          <w:rFonts w:ascii="Arial" w:eastAsia="Calibri" w:hAnsi="Arial" w:cs="Arial"/>
          <w:lang w:eastAsia="en-GB"/>
        </w:rPr>
        <w:t>, the following agreement was made: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034AB8" w:rsidRPr="00927DE0" w14:paraId="70EC6EBA" w14:textId="77777777" w:rsidTr="00F804BB">
        <w:trPr>
          <w:trHeight w:val="2118"/>
        </w:trPr>
        <w:tc>
          <w:tcPr>
            <w:tcW w:w="9747" w:type="dxa"/>
            <w:shd w:val="clear" w:color="auto" w:fill="auto"/>
          </w:tcPr>
          <w:p w14:paraId="04CD540F" w14:textId="77777777" w:rsidR="00034AB8" w:rsidRPr="00D54DCD" w:rsidRDefault="00034AB8" w:rsidP="00F804BB">
            <w:pPr>
              <w:spacing w:before="240"/>
              <w:rPr>
                <w:rFonts w:ascii="Arial" w:hAnsi="Arial" w:cs="Arial"/>
                <w:highlight w:val="green"/>
                <w:lang w:eastAsia="x-none"/>
              </w:rPr>
            </w:pPr>
            <w:r w:rsidRPr="00D54DCD">
              <w:rPr>
                <w:rFonts w:ascii="Arial" w:hAnsi="Arial" w:cs="Arial"/>
                <w:highlight w:val="green"/>
                <w:lang w:eastAsia="x-none"/>
              </w:rPr>
              <w:t>Agreements:</w:t>
            </w:r>
          </w:p>
          <w:p w14:paraId="541E7C05" w14:textId="77777777" w:rsidR="00034AB8" w:rsidRPr="00EA089A" w:rsidRDefault="00034AB8" w:rsidP="00034AB8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EA089A">
              <w:rPr>
                <w:rFonts w:ascii="Arial" w:hAnsi="Arial" w:hint="eastAsia"/>
              </w:rPr>
              <w:t>L</w:t>
            </w:r>
            <w:r w:rsidRPr="00EA089A">
              <w:rPr>
                <w:rFonts w:ascii="Arial" w:hAnsi="Arial"/>
              </w:rPr>
              <w:t>ong-term measurement</w:t>
            </w:r>
            <w:r w:rsidRPr="00EA089A">
              <w:rPr>
                <w:rFonts w:ascii="Arial" w:hAnsi="Arial" w:hint="eastAsia"/>
              </w:rPr>
              <w:t xml:space="preserve"> of sidelink signal is supported at least for unicast.</w:t>
            </w:r>
          </w:p>
          <w:p w14:paraId="3088AAFA" w14:textId="77777777" w:rsidR="00034AB8" w:rsidRPr="00EA089A" w:rsidRDefault="00034AB8" w:rsidP="00034AB8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EA089A">
              <w:rPr>
                <w:rFonts w:ascii="Arial" w:hAnsi="Arial" w:hint="eastAsia"/>
              </w:rPr>
              <w:t>Long-term measurement here means a measurement with L3 filtering.</w:t>
            </w:r>
          </w:p>
          <w:p w14:paraId="06140686" w14:textId="77777777" w:rsidR="00034AB8" w:rsidRPr="009C7B21" w:rsidRDefault="00034AB8" w:rsidP="00034AB8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9C7B21">
              <w:rPr>
                <w:rFonts w:ascii="Arial" w:hAnsi="Arial" w:hint="eastAsia"/>
              </w:rPr>
              <w:t xml:space="preserve">This measurement is used at least for the open-loop power </w:t>
            </w:r>
            <w:r w:rsidRPr="009C7B21">
              <w:rPr>
                <w:rFonts w:ascii="Arial" w:hAnsi="Arial"/>
              </w:rPr>
              <w:t>control</w:t>
            </w:r>
            <w:r w:rsidRPr="009C7B21">
              <w:rPr>
                <w:rFonts w:ascii="Arial" w:hAnsi="Arial" w:hint="eastAsia"/>
              </w:rPr>
              <w:t>.</w:t>
            </w:r>
          </w:p>
          <w:p w14:paraId="494B0404" w14:textId="77777777" w:rsidR="00034AB8" w:rsidRPr="009C7B21" w:rsidRDefault="00034AB8" w:rsidP="00034AB8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9C7B21">
              <w:rPr>
                <w:rFonts w:ascii="Arial" w:hAnsi="Arial" w:hint="eastAsia"/>
              </w:rPr>
              <w:t>FFS for other purpose</w:t>
            </w:r>
          </w:p>
          <w:p w14:paraId="5DE5F647" w14:textId="77777777" w:rsidR="00034AB8" w:rsidRPr="009C7B21" w:rsidRDefault="00034AB8" w:rsidP="00034AB8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9C7B21">
              <w:rPr>
                <w:rFonts w:ascii="Arial" w:hAnsi="Arial" w:hint="eastAsia"/>
              </w:rPr>
              <w:t>FFS: measurement metric</w:t>
            </w:r>
          </w:p>
          <w:p w14:paraId="5A25E00D" w14:textId="77777777" w:rsidR="00034AB8" w:rsidRPr="009C7B21" w:rsidRDefault="00034AB8" w:rsidP="00034AB8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9C7B21">
              <w:rPr>
                <w:rFonts w:ascii="Arial" w:hAnsi="Arial" w:hint="eastAsia"/>
              </w:rPr>
              <w:t>FFS: which signal is used</w:t>
            </w:r>
          </w:p>
          <w:p w14:paraId="7A113FE4" w14:textId="77777777" w:rsidR="00034AB8" w:rsidRPr="009C7B21" w:rsidRDefault="00034AB8" w:rsidP="00034AB8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9C7B21">
              <w:rPr>
                <w:rFonts w:ascii="Arial" w:hAnsi="Arial" w:hint="eastAsia"/>
              </w:rPr>
              <w:t>FFS: whether feedback of this measurement is needed</w:t>
            </w:r>
          </w:p>
          <w:p w14:paraId="02CD009F" w14:textId="77777777" w:rsidR="00034AB8" w:rsidRPr="009503CB" w:rsidRDefault="00034AB8" w:rsidP="00034AB8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6"/>
                <w:szCs w:val="26"/>
              </w:rPr>
            </w:pPr>
            <w:r w:rsidRPr="009C7B21">
              <w:rPr>
                <w:rFonts w:ascii="Arial" w:hAnsi="Arial"/>
              </w:rPr>
              <w:t>FFS whether this is applicable to groupcast</w:t>
            </w:r>
          </w:p>
          <w:p w14:paraId="0D9D91BB" w14:textId="77777777" w:rsidR="00034AB8" w:rsidRPr="00EA089A" w:rsidRDefault="00034AB8" w:rsidP="00F804BB">
            <w:pPr>
              <w:spacing w:after="0"/>
              <w:rPr>
                <w:sz w:val="26"/>
                <w:szCs w:val="26"/>
              </w:rPr>
            </w:pPr>
          </w:p>
        </w:tc>
      </w:tr>
    </w:tbl>
    <w:p w14:paraId="3960C477" w14:textId="77777777" w:rsidR="00034AB8" w:rsidRDefault="00034AB8" w:rsidP="00034AB8">
      <w:pPr>
        <w:pStyle w:val="BodyText"/>
      </w:pPr>
    </w:p>
    <w:p w14:paraId="7C48702B" w14:textId="3BE00698" w:rsidR="00477768" w:rsidRPr="00CE0424" w:rsidRDefault="00034AB8" w:rsidP="00CE0424">
      <w:pPr>
        <w:pStyle w:val="BodyText"/>
      </w:pPr>
      <w:r>
        <w:t>In this paper, we express our views on the needed measurements at layer 1.</w:t>
      </w:r>
    </w:p>
    <w:p w14:paraId="020415C4" w14:textId="77777777" w:rsidR="004000E8" w:rsidRPr="00CE0424" w:rsidRDefault="00230D18" w:rsidP="00CE0424">
      <w:pPr>
        <w:pStyle w:val="Heading1"/>
      </w:pPr>
      <w:bookmarkStart w:id="0" w:name="_Ref178064866"/>
      <w:r>
        <w:lastRenderedPageBreak/>
        <w:t>2</w:t>
      </w:r>
      <w:r>
        <w:tab/>
      </w:r>
      <w:r w:rsidR="004000E8" w:rsidRPr="00CE0424">
        <w:t>Discussion</w:t>
      </w:r>
      <w:bookmarkEnd w:id="0"/>
    </w:p>
    <w:p w14:paraId="02CFF9D7" w14:textId="16C93DE5" w:rsidR="00034AB8" w:rsidRPr="00515199" w:rsidRDefault="00034AB8" w:rsidP="00515199">
      <w:pPr>
        <w:jc w:val="both"/>
        <w:rPr>
          <w:rFonts w:ascii="Arial" w:hAnsi="Arial"/>
          <w:lang w:eastAsia="zh-CN"/>
        </w:rPr>
      </w:pPr>
      <w:r w:rsidRPr="00515199">
        <w:rPr>
          <w:rFonts w:ascii="Arial" w:hAnsi="Arial"/>
          <w:lang w:eastAsia="zh-CN"/>
        </w:rPr>
        <w:t xml:space="preserve">CSIT can be exploited to improve system spectral efficiency via inner-loop link adaptation. Moreover, with accurate CSIT, sidelink transmitter can select appropriate precoders based on the service requirements and the channel and/or interference situations.  This is particularly beneficial for the following two eV2X use cases: platooning; video data sharing for assisted and improved automated driving. As explained and evaluated in </w:t>
      </w:r>
      <w:r w:rsidRPr="00515199">
        <w:rPr>
          <w:rFonts w:ascii="Arial" w:hAnsi="Arial"/>
          <w:lang w:eastAsia="zh-CN"/>
        </w:rPr>
        <w:fldChar w:fldCharType="begin"/>
      </w:r>
      <w:r w:rsidRPr="00515199">
        <w:rPr>
          <w:rFonts w:ascii="Arial" w:hAnsi="Arial"/>
          <w:lang w:eastAsia="zh-CN"/>
        </w:rPr>
        <w:instrText xml:space="preserve"> REF _Ref1046716 \r \h </w:instrText>
      </w:r>
      <w:r w:rsidR="00515199">
        <w:rPr>
          <w:rFonts w:ascii="Arial" w:hAnsi="Arial"/>
          <w:lang w:eastAsia="zh-CN"/>
        </w:rPr>
        <w:instrText xml:space="preserve"> \* MERGEFORMAT </w:instrText>
      </w:r>
      <w:r w:rsidRPr="00515199">
        <w:rPr>
          <w:rFonts w:ascii="Arial" w:hAnsi="Arial"/>
          <w:lang w:eastAsia="zh-CN"/>
        </w:rPr>
      </w:r>
      <w:r w:rsidRPr="00515199">
        <w:rPr>
          <w:rFonts w:ascii="Arial" w:hAnsi="Arial"/>
          <w:lang w:eastAsia="zh-CN"/>
        </w:rPr>
        <w:fldChar w:fldCharType="separate"/>
      </w:r>
      <w:r w:rsidRPr="00515199">
        <w:rPr>
          <w:rFonts w:ascii="Arial" w:hAnsi="Arial"/>
          <w:lang w:eastAsia="zh-CN"/>
        </w:rPr>
        <w:t>[1]</w:t>
      </w:r>
      <w:r w:rsidRPr="00515199">
        <w:rPr>
          <w:rFonts w:ascii="Arial" w:hAnsi="Arial"/>
          <w:lang w:eastAsia="zh-CN"/>
        </w:rPr>
        <w:fldChar w:fldCharType="end"/>
      </w:r>
      <w:r w:rsidRPr="00515199">
        <w:rPr>
          <w:rFonts w:ascii="Arial" w:hAnsi="Arial"/>
          <w:lang w:eastAsia="zh-CN"/>
        </w:rPr>
        <w:fldChar w:fldCharType="begin"/>
      </w:r>
      <w:r w:rsidRPr="00515199">
        <w:rPr>
          <w:rFonts w:ascii="Arial" w:hAnsi="Arial"/>
          <w:lang w:eastAsia="zh-CN"/>
        </w:rPr>
        <w:instrText xml:space="preserve"> REF _Ref1050921 \r \h </w:instrText>
      </w:r>
      <w:r w:rsidR="00515199">
        <w:rPr>
          <w:rFonts w:ascii="Arial" w:hAnsi="Arial"/>
          <w:lang w:eastAsia="zh-CN"/>
        </w:rPr>
        <w:instrText xml:space="preserve"> \* MERGEFORMAT </w:instrText>
      </w:r>
      <w:r w:rsidRPr="00515199">
        <w:rPr>
          <w:rFonts w:ascii="Arial" w:hAnsi="Arial"/>
          <w:lang w:eastAsia="zh-CN"/>
        </w:rPr>
      </w:r>
      <w:r w:rsidRPr="00515199">
        <w:rPr>
          <w:rFonts w:ascii="Arial" w:hAnsi="Arial"/>
          <w:lang w:eastAsia="zh-CN"/>
        </w:rPr>
        <w:fldChar w:fldCharType="separate"/>
      </w:r>
      <w:r w:rsidRPr="00515199">
        <w:rPr>
          <w:rFonts w:ascii="Arial" w:hAnsi="Arial"/>
          <w:lang w:eastAsia="zh-CN"/>
        </w:rPr>
        <w:t>[2]</w:t>
      </w:r>
      <w:r w:rsidRPr="00515199">
        <w:rPr>
          <w:rFonts w:ascii="Arial" w:hAnsi="Arial"/>
          <w:lang w:eastAsia="zh-CN"/>
        </w:rPr>
        <w:fldChar w:fldCharType="end"/>
      </w:r>
      <w:r w:rsidRPr="00515199">
        <w:rPr>
          <w:rFonts w:ascii="Arial" w:hAnsi="Arial"/>
          <w:lang w:eastAsia="zh-CN"/>
        </w:rPr>
        <w:fldChar w:fldCharType="begin"/>
      </w:r>
      <w:r w:rsidRPr="00515199">
        <w:rPr>
          <w:rFonts w:ascii="Arial" w:hAnsi="Arial"/>
          <w:lang w:eastAsia="zh-CN"/>
        </w:rPr>
        <w:instrText xml:space="preserve"> REF _Ref1046730 \r \h  \* MERGEFORMAT </w:instrText>
      </w:r>
      <w:r w:rsidRPr="00515199">
        <w:rPr>
          <w:rFonts w:ascii="Arial" w:hAnsi="Arial"/>
          <w:lang w:eastAsia="zh-CN"/>
        </w:rPr>
      </w:r>
      <w:r w:rsidRPr="00515199">
        <w:rPr>
          <w:rFonts w:ascii="Arial" w:hAnsi="Arial"/>
          <w:lang w:eastAsia="zh-CN"/>
        </w:rPr>
        <w:fldChar w:fldCharType="separate"/>
      </w:r>
      <w:r w:rsidRPr="00515199">
        <w:rPr>
          <w:rFonts w:ascii="Arial" w:hAnsi="Arial"/>
          <w:lang w:eastAsia="zh-CN"/>
        </w:rPr>
        <w:t>[3]</w:t>
      </w:r>
      <w:r w:rsidRPr="00515199">
        <w:rPr>
          <w:rFonts w:ascii="Arial" w:hAnsi="Arial"/>
          <w:lang w:eastAsia="zh-CN"/>
        </w:rPr>
        <w:fldChar w:fldCharType="end"/>
      </w:r>
      <w:r w:rsidRPr="00515199">
        <w:rPr>
          <w:rFonts w:ascii="Arial" w:hAnsi="Arial"/>
          <w:lang w:eastAsia="zh-CN"/>
        </w:rPr>
        <w:t>, closed-loop MIMO and inner-loop link adaptation scheme can provide clear performance gain over open-loop schemes. To enable efficient closed-MIMO and link adaptation, RI, wideband PMI and CQI reports should be supported.</w:t>
      </w:r>
    </w:p>
    <w:p w14:paraId="7FB0514B" w14:textId="77777777" w:rsidR="00034AB8" w:rsidRDefault="00034AB8" w:rsidP="00034AB8">
      <w:pPr>
        <w:pStyle w:val="Proposal"/>
        <w:tabs>
          <w:tab w:val="num" w:pos="1304"/>
        </w:tabs>
        <w:overflowPunct/>
        <w:autoSpaceDE/>
        <w:autoSpaceDN/>
        <w:adjustRightInd/>
        <w:spacing w:line="259" w:lineRule="auto"/>
        <w:ind w:left="1304" w:hanging="1304"/>
        <w:textAlignment w:val="auto"/>
      </w:pPr>
      <w:bookmarkStart w:id="1" w:name="_Toc1051068"/>
      <w:bookmarkStart w:id="2" w:name="_Toc1135828"/>
      <w:bookmarkStart w:id="3" w:name="_Toc889178"/>
      <w:r w:rsidRPr="00D70CCC">
        <w:rPr>
          <w:rFonts w:cs="Arial"/>
        </w:rPr>
        <w:t xml:space="preserve">RI report, wideband PMI and CQI reports </w:t>
      </w:r>
      <w:r>
        <w:rPr>
          <w:rFonts w:cs="Arial"/>
        </w:rPr>
        <w:t>are</w:t>
      </w:r>
      <w:r w:rsidRPr="00D70CCC">
        <w:rPr>
          <w:rFonts w:cs="Arial"/>
        </w:rPr>
        <w:t xml:space="preserve"> supported for sidelink unicast</w:t>
      </w:r>
      <w:r>
        <w:t>.</w:t>
      </w:r>
      <w:bookmarkEnd w:id="1"/>
      <w:bookmarkEnd w:id="2"/>
      <w:r>
        <w:t xml:space="preserve"> </w:t>
      </w:r>
      <w:bookmarkEnd w:id="3"/>
    </w:p>
    <w:p w14:paraId="2A2BA030" w14:textId="678D925A" w:rsidR="00034AB8" w:rsidRPr="00515199" w:rsidRDefault="00034AB8" w:rsidP="00515199">
      <w:pPr>
        <w:jc w:val="both"/>
        <w:rPr>
          <w:rFonts w:ascii="Arial" w:hAnsi="Arial"/>
          <w:lang w:eastAsia="zh-CN"/>
        </w:rPr>
      </w:pPr>
      <w:bookmarkStart w:id="4" w:name="_Toc1051069"/>
      <w:bookmarkStart w:id="5" w:name="_Toc1051278"/>
      <w:r w:rsidRPr="00515199">
        <w:rPr>
          <w:rFonts w:ascii="Arial" w:hAnsi="Arial"/>
          <w:lang w:eastAsia="zh-CN"/>
        </w:rPr>
        <w:t xml:space="preserve">The main use case of SRI and CRI in </w:t>
      </w:r>
      <w:proofErr w:type="spellStart"/>
      <w:r w:rsidRPr="00515199">
        <w:rPr>
          <w:rFonts w:ascii="Arial" w:hAnsi="Arial"/>
          <w:lang w:eastAsia="zh-CN"/>
        </w:rPr>
        <w:t>Uu</w:t>
      </w:r>
      <w:proofErr w:type="spellEnd"/>
      <w:r w:rsidRPr="00515199">
        <w:rPr>
          <w:rFonts w:ascii="Arial" w:hAnsi="Arial"/>
          <w:lang w:eastAsia="zh-CN"/>
        </w:rPr>
        <w:t xml:space="preserve"> links is for beam management. In </w:t>
      </w:r>
      <w:proofErr w:type="spellStart"/>
      <w:r w:rsidRPr="00515199">
        <w:rPr>
          <w:rFonts w:ascii="Arial" w:hAnsi="Arial"/>
          <w:lang w:eastAsia="zh-CN"/>
        </w:rPr>
        <w:t>Uu</w:t>
      </w:r>
      <w:proofErr w:type="spellEnd"/>
      <w:r w:rsidRPr="00515199">
        <w:rPr>
          <w:rFonts w:ascii="Arial" w:hAnsi="Arial"/>
          <w:lang w:eastAsia="zh-CN"/>
        </w:rPr>
        <w:t xml:space="preserve">, there can be </w:t>
      </w:r>
      <w:proofErr w:type="gramStart"/>
      <w:r w:rsidRPr="00515199">
        <w:rPr>
          <w:rFonts w:ascii="Arial" w:hAnsi="Arial"/>
          <w:lang w:eastAsia="zh-CN"/>
        </w:rPr>
        <w:t>a large number of</w:t>
      </w:r>
      <w:proofErr w:type="gramEnd"/>
      <w:r w:rsidRPr="00515199">
        <w:rPr>
          <w:rFonts w:ascii="Arial" w:hAnsi="Arial"/>
          <w:lang w:eastAsia="zh-CN"/>
        </w:rPr>
        <w:t xml:space="preserve"> antenna elements at the </w:t>
      </w:r>
      <w:proofErr w:type="spellStart"/>
      <w:r w:rsidRPr="00515199">
        <w:rPr>
          <w:rFonts w:ascii="Arial" w:hAnsi="Arial"/>
          <w:lang w:eastAsia="zh-CN"/>
        </w:rPr>
        <w:t>gNB</w:t>
      </w:r>
      <w:proofErr w:type="spellEnd"/>
      <w:r w:rsidRPr="00515199">
        <w:rPr>
          <w:rFonts w:ascii="Arial" w:hAnsi="Arial"/>
          <w:lang w:eastAsia="zh-CN"/>
        </w:rPr>
        <w:t xml:space="preserve">. In this case, to reduce the number CSI-RS ports, CRI is introduced to select proper beam at the </w:t>
      </w:r>
      <w:proofErr w:type="spellStart"/>
      <w:r w:rsidRPr="00515199">
        <w:rPr>
          <w:rFonts w:ascii="Arial" w:hAnsi="Arial"/>
          <w:lang w:eastAsia="zh-CN"/>
        </w:rPr>
        <w:t>gNB</w:t>
      </w:r>
      <w:proofErr w:type="spellEnd"/>
      <w:r w:rsidRPr="00515199">
        <w:rPr>
          <w:rFonts w:ascii="Arial" w:hAnsi="Arial"/>
          <w:lang w:eastAsia="zh-CN"/>
        </w:rPr>
        <w:t xml:space="preserve">, which is particularly useful for hybrid or </w:t>
      </w:r>
      <w:proofErr w:type="spellStart"/>
      <w:r w:rsidRPr="00515199">
        <w:rPr>
          <w:rFonts w:ascii="Arial" w:hAnsi="Arial"/>
          <w:lang w:eastAsia="zh-CN"/>
        </w:rPr>
        <w:t>analog</w:t>
      </w:r>
      <w:proofErr w:type="spellEnd"/>
      <w:r w:rsidRPr="00515199">
        <w:rPr>
          <w:rFonts w:ascii="Arial" w:hAnsi="Arial"/>
          <w:lang w:eastAsia="zh-CN"/>
        </w:rPr>
        <w:t xml:space="preserve"> beamforming. Moreover, in </w:t>
      </w:r>
      <w:proofErr w:type="spellStart"/>
      <w:r w:rsidRPr="00515199">
        <w:rPr>
          <w:rFonts w:ascii="Arial" w:hAnsi="Arial"/>
          <w:lang w:eastAsia="zh-CN"/>
        </w:rPr>
        <w:t>Uu</w:t>
      </w:r>
      <w:proofErr w:type="spellEnd"/>
      <w:r w:rsidRPr="00515199">
        <w:rPr>
          <w:rFonts w:ascii="Arial" w:hAnsi="Arial"/>
          <w:lang w:eastAsia="zh-CN"/>
        </w:rPr>
        <w:t xml:space="preserve">, due to the limited UL Tx power and the potential long distance between a UE and the </w:t>
      </w:r>
      <w:proofErr w:type="spellStart"/>
      <w:r w:rsidRPr="00515199">
        <w:rPr>
          <w:rFonts w:ascii="Arial" w:hAnsi="Arial"/>
          <w:lang w:eastAsia="zh-CN"/>
        </w:rPr>
        <w:t>gNB</w:t>
      </w:r>
      <w:proofErr w:type="spellEnd"/>
      <w:r w:rsidRPr="00515199">
        <w:rPr>
          <w:rFonts w:ascii="Arial" w:hAnsi="Arial"/>
          <w:lang w:eastAsia="zh-CN"/>
        </w:rPr>
        <w:t xml:space="preserve">, SRI is introduced to enhance the coverage of SRS transmission. However, for sidelink in at least FR1, we don’t expect </w:t>
      </w:r>
      <w:proofErr w:type="gramStart"/>
      <w:r w:rsidRPr="00515199">
        <w:rPr>
          <w:rFonts w:ascii="Arial" w:hAnsi="Arial"/>
          <w:lang w:eastAsia="zh-CN"/>
        </w:rPr>
        <w:t>a large number of</w:t>
      </w:r>
      <w:proofErr w:type="gramEnd"/>
      <w:r w:rsidRPr="00515199">
        <w:rPr>
          <w:rFonts w:ascii="Arial" w:hAnsi="Arial"/>
          <w:lang w:eastAsia="zh-CN"/>
        </w:rPr>
        <w:t xml:space="preserve"> antennas on a vehicle or a severe coverage problem. Also, we think that the use of SCSI-RS </w:t>
      </w:r>
      <w:r w:rsidRPr="00515199">
        <w:rPr>
          <w:rFonts w:ascii="Arial" w:hAnsi="Arial"/>
          <w:lang w:eastAsia="zh-CN"/>
        </w:rPr>
        <w:fldChar w:fldCharType="begin"/>
      </w:r>
      <w:r w:rsidRPr="00515199">
        <w:rPr>
          <w:rFonts w:ascii="Arial" w:hAnsi="Arial"/>
          <w:lang w:eastAsia="zh-CN"/>
        </w:rPr>
        <w:instrText xml:space="preserve"> REF _Ref1046716 \r \h  \* MERGEFORMAT </w:instrText>
      </w:r>
      <w:r w:rsidRPr="00515199">
        <w:rPr>
          <w:rFonts w:ascii="Arial" w:hAnsi="Arial"/>
          <w:lang w:eastAsia="zh-CN"/>
        </w:rPr>
      </w:r>
      <w:r w:rsidRPr="00515199">
        <w:rPr>
          <w:rFonts w:ascii="Arial" w:hAnsi="Arial"/>
          <w:lang w:eastAsia="zh-CN"/>
        </w:rPr>
        <w:fldChar w:fldCharType="separate"/>
      </w:r>
      <w:r w:rsidRPr="00515199">
        <w:rPr>
          <w:rFonts w:ascii="Arial" w:hAnsi="Arial"/>
          <w:lang w:eastAsia="zh-CN"/>
        </w:rPr>
        <w:t>[1]</w:t>
      </w:r>
      <w:r w:rsidRPr="00515199">
        <w:rPr>
          <w:rFonts w:ascii="Arial" w:hAnsi="Arial"/>
          <w:lang w:eastAsia="zh-CN"/>
        </w:rPr>
        <w:fldChar w:fldCharType="end"/>
      </w:r>
      <w:r w:rsidRPr="00515199">
        <w:rPr>
          <w:rFonts w:ascii="Arial" w:hAnsi="Arial"/>
          <w:lang w:eastAsia="zh-CN"/>
        </w:rPr>
        <w:fldChar w:fldCharType="begin"/>
      </w:r>
      <w:r w:rsidRPr="00515199">
        <w:rPr>
          <w:rFonts w:ascii="Arial" w:hAnsi="Arial"/>
          <w:lang w:eastAsia="zh-CN"/>
        </w:rPr>
        <w:instrText xml:space="preserve"> REF _Ref1046730 \r \h  \* MERGEFORMAT </w:instrText>
      </w:r>
      <w:r w:rsidRPr="00515199">
        <w:rPr>
          <w:rFonts w:ascii="Arial" w:hAnsi="Arial"/>
          <w:lang w:eastAsia="zh-CN"/>
        </w:rPr>
      </w:r>
      <w:r w:rsidRPr="00515199">
        <w:rPr>
          <w:rFonts w:ascii="Arial" w:hAnsi="Arial"/>
          <w:lang w:eastAsia="zh-CN"/>
        </w:rPr>
        <w:fldChar w:fldCharType="separate"/>
      </w:r>
      <w:r w:rsidRPr="00515199">
        <w:rPr>
          <w:rFonts w:ascii="Arial" w:hAnsi="Arial"/>
          <w:lang w:eastAsia="zh-CN"/>
        </w:rPr>
        <w:t>[3]</w:t>
      </w:r>
      <w:r w:rsidRPr="00515199">
        <w:rPr>
          <w:rFonts w:ascii="Arial" w:hAnsi="Arial"/>
          <w:lang w:eastAsia="zh-CN"/>
        </w:rPr>
        <w:fldChar w:fldCharType="end"/>
      </w:r>
      <w:r w:rsidRPr="00515199">
        <w:rPr>
          <w:rFonts w:ascii="Arial" w:hAnsi="Arial"/>
          <w:lang w:eastAsia="zh-CN"/>
        </w:rPr>
        <w:t xml:space="preserve"> together with RI and PMI reports can already efficiently assist multi-antenna transmission at a sidelink transmitter. Hence, we don’t see the need of SRI and CRI for sidelink at</w:t>
      </w:r>
      <w:r w:rsidR="00D92E22">
        <w:rPr>
          <w:rFonts w:ascii="Arial" w:hAnsi="Arial"/>
          <w:lang w:eastAsia="zh-CN"/>
        </w:rPr>
        <w:t xml:space="preserve"> least for</w:t>
      </w:r>
      <w:r w:rsidRPr="00515199">
        <w:rPr>
          <w:rFonts w:ascii="Arial" w:hAnsi="Arial"/>
          <w:lang w:eastAsia="zh-CN"/>
        </w:rPr>
        <w:t xml:space="preserve"> FR1.</w:t>
      </w:r>
      <w:bookmarkEnd w:id="4"/>
      <w:bookmarkEnd w:id="5"/>
    </w:p>
    <w:p w14:paraId="66AD183E" w14:textId="562F5980" w:rsidR="00034AB8" w:rsidRDefault="00034AB8" w:rsidP="00034AB8">
      <w:pPr>
        <w:pStyle w:val="Proposal"/>
        <w:tabs>
          <w:tab w:val="num" w:pos="1304"/>
        </w:tabs>
        <w:overflowPunct/>
        <w:autoSpaceDE/>
        <w:autoSpaceDN/>
        <w:adjustRightInd/>
        <w:spacing w:line="259" w:lineRule="auto"/>
        <w:ind w:left="1304" w:hanging="1304"/>
        <w:textAlignment w:val="auto"/>
      </w:pPr>
      <w:bookmarkStart w:id="6" w:name="_Toc1051070"/>
      <w:bookmarkStart w:id="7" w:name="_Toc1135829"/>
      <w:r>
        <w:rPr>
          <w:rFonts w:cs="Arial"/>
        </w:rPr>
        <w:t>SRI and CRI</w:t>
      </w:r>
      <w:r w:rsidRPr="00D70CCC">
        <w:rPr>
          <w:rFonts w:cs="Arial"/>
        </w:rPr>
        <w:t xml:space="preserve"> </w:t>
      </w:r>
      <w:r>
        <w:rPr>
          <w:rFonts w:cs="Arial"/>
        </w:rPr>
        <w:t>are</w:t>
      </w:r>
      <w:r w:rsidRPr="00D70CCC">
        <w:rPr>
          <w:rFonts w:cs="Arial"/>
        </w:rPr>
        <w:t xml:space="preserve"> </w:t>
      </w:r>
      <w:r>
        <w:rPr>
          <w:rFonts w:cs="Arial"/>
        </w:rPr>
        <w:t>not introduced</w:t>
      </w:r>
      <w:r w:rsidRPr="00D70CCC">
        <w:rPr>
          <w:rFonts w:cs="Arial"/>
        </w:rPr>
        <w:t xml:space="preserve"> for sidelink </w:t>
      </w:r>
      <w:r>
        <w:rPr>
          <w:rFonts w:cs="Arial"/>
        </w:rPr>
        <w:t>at</w:t>
      </w:r>
      <w:r w:rsidR="00D92E22">
        <w:rPr>
          <w:rFonts w:cs="Arial"/>
        </w:rPr>
        <w:t xml:space="preserve"> least for</w:t>
      </w:r>
      <w:r>
        <w:rPr>
          <w:rFonts w:cs="Arial"/>
        </w:rPr>
        <w:t xml:space="preserve"> FR1</w:t>
      </w:r>
      <w:r>
        <w:t>.</w:t>
      </w:r>
      <w:bookmarkEnd w:id="6"/>
      <w:bookmarkEnd w:id="7"/>
      <w:r>
        <w:t xml:space="preserve"> </w:t>
      </w:r>
    </w:p>
    <w:p w14:paraId="2F27B775" w14:textId="50CF074E" w:rsidR="003B38CF" w:rsidRPr="00515199" w:rsidRDefault="00034AB8" w:rsidP="00515199">
      <w:pPr>
        <w:jc w:val="both"/>
        <w:rPr>
          <w:rFonts w:ascii="Arial" w:hAnsi="Arial"/>
          <w:lang w:eastAsia="zh-CN"/>
        </w:rPr>
      </w:pPr>
      <w:r w:rsidRPr="00515199">
        <w:rPr>
          <w:rFonts w:ascii="Arial" w:hAnsi="Arial"/>
          <w:lang w:eastAsia="zh-CN"/>
        </w:rPr>
        <w:t xml:space="preserve">It has already been agreed that some long-term measurement can be used at least for open-loop power control. As proposed in </w:t>
      </w:r>
      <w:r w:rsidRPr="00515199">
        <w:rPr>
          <w:rFonts w:ascii="Arial" w:hAnsi="Arial"/>
          <w:lang w:eastAsia="zh-CN"/>
        </w:rPr>
        <w:fldChar w:fldCharType="begin"/>
      </w:r>
      <w:r w:rsidRPr="00515199">
        <w:rPr>
          <w:rFonts w:ascii="Arial" w:hAnsi="Arial"/>
          <w:lang w:eastAsia="zh-CN"/>
        </w:rPr>
        <w:instrText xml:space="preserve"> REF _Ref1046716 \r \h </w:instrText>
      </w:r>
      <w:r w:rsidR="00515199">
        <w:rPr>
          <w:rFonts w:ascii="Arial" w:hAnsi="Arial"/>
          <w:lang w:eastAsia="zh-CN"/>
        </w:rPr>
        <w:instrText xml:space="preserve"> \* MERGEFORMAT </w:instrText>
      </w:r>
      <w:r w:rsidRPr="00515199">
        <w:rPr>
          <w:rFonts w:ascii="Arial" w:hAnsi="Arial"/>
          <w:lang w:eastAsia="zh-CN"/>
        </w:rPr>
      </w:r>
      <w:r w:rsidRPr="00515199">
        <w:rPr>
          <w:rFonts w:ascii="Arial" w:hAnsi="Arial"/>
          <w:lang w:eastAsia="zh-CN"/>
        </w:rPr>
        <w:fldChar w:fldCharType="separate"/>
      </w:r>
      <w:r w:rsidRPr="00515199">
        <w:rPr>
          <w:rFonts w:ascii="Arial" w:hAnsi="Arial"/>
          <w:lang w:eastAsia="zh-CN"/>
        </w:rPr>
        <w:t>[1]</w:t>
      </w:r>
      <w:r w:rsidRPr="00515199">
        <w:rPr>
          <w:rFonts w:ascii="Arial" w:hAnsi="Arial"/>
          <w:lang w:eastAsia="zh-CN"/>
        </w:rPr>
        <w:fldChar w:fldCharType="end"/>
      </w:r>
      <w:r w:rsidRPr="00515199">
        <w:rPr>
          <w:rFonts w:ascii="Arial" w:hAnsi="Arial"/>
          <w:lang w:eastAsia="zh-CN"/>
        </w:rPr>
        <w:t xml:space="preserve">, we think that RSRP can be this type of measurement, since it basically reflects the </w:t>
      </w:r>
      <w:proofErr w:type="spellStart"/>
      <w:r w:rsidRPr="00515199">
        <w:rPr>
          <w:rFonts w:ascii="Arial" w:hAnsi="Arial"/>
          <w:lang w:eastAsia="zh-CN"/>
        </w:rPr>
        <w:t>pathgain</w:t>
      </w:r>
      <w:proofErr w:type="spellEnd"/>
      <w:r w:rsidRPr="00515199">
        <w:rPr>
          <w:rFonts w:ascii="Arial" w:hAnsi="Arial"/>
          <w:lang w:eastAsia="zh-CN"/>
        </w:rPr>
        <w:t xml:space="preserve">/pathloss between a sidelink transmitter and a receiver. And no additional metric is needed to represent </w:t>
      </w:r>
      <w:proofErr w:type="spellStart"/>
      <w:r w:rsidRPr="00515199">
        <w:rPr>
          <w:rFonts w:ascii="Arial" w:hAnsi="Arial"/>
          <w:lang w:eastAsia="zh-CN"/>
        </w:rPr>
        <w:t>pathgain</w:t>
      </w:r>
      <w:proofErr w:type="spellEnd"/>
      <w:r w:rsidRPr="00515199">
        <w:rPr>
          <w:rFonts w:ascii="Arial" w:hAnsi="Arial"/>
          <w:lang w:eastAsia="zh-CN"/>
        </w:rPr>
        <w:t xml:space="preserve"> or pathloss. Moreover, in addition to power control, in our view, RSRP can also be used for radio link management and interface selection.</w:t>
      </w:r>
      <w:r w:rsidR="00010BDB" w:rsidRPr="00515199">
        <w:rPr>
          <w:rFonts w:ascii="Arial" w:hAnsi="Arial"/>
          <w:lang w:eastAsia="zh-CN"/>
        </w:rPr>
        <w:t xml:space="preserve"> </w:t>
      </w:r>
    </w:p>
    <w:p w14:paraId="3340C780" w14:textId="49430D54" w:rsidR="00034AB8" w:rsidRPr="00034AB8" w:rsidRDefault="00034AB8" w:rsidP="00503F24">
      <w:pPr>
        <w:pStyle w:val="Proposal"/>
      </w:pPr>
      <w:bookmarkStart w:id="8" w:name="_Toc1051071"/>
      <w:bookmarkStart w:id="9" w:name="_Toc1135830"/>
      <w:r w:rsidRPr="00503F24">
        <w:t xml:space="preserve">RSRP is introduced to represent the </w:t>
      </w:r>
      <w:proofErr w:type="spellStart"/>
      <w:r w:rsidRPr="00503F24">
        <w:t>pathgain</w:t>
      </w:r>
      <w:proofErr w:type="spellEnd"/>
      <w:r w:rsidRPr="00503F24">
        <w:t xml:space="preserve"> or pathloss between a sidelink transmitter and a sidelink receiver</w:t>
      </w:r>
      <w:r>
        <w:t>.</w:t>
      </w:r>
      <w:bookmarkEnd w:id="8"/>
      <w:bookmarkEnd w:id="9"/>
      <w:r>
        <w:t xml:space="preserve"> </w:t>
      </w:r>
    </w:p>
    <w:p w14:paraId="57324AF2" w14:textId="292F6D4B" w:rsidR="00034AB8" w:rsidRPr="00515199" w:rsidRDefault="00671E4E" w:rsidP="00515199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In previous RAN1 meetings, s</w:t>
      </w:r>
      <w:r w:rsidR="00034AB8" w:rsidRPr="00515199">
        <w:rPr>
          <w:rFonts w:ascii="Arial" w:hAnsi="Arial"/>
          <w:lang w:eastAsia="zh-CN"/>
        </w:rPr>
        <w:t>ome companies propose to introduce some measurement to reflect vehicle motion, which includes doppler spread and delay spread. Its main use case is for DMRS pattern selection.</w:t>
      </w:r>
      <w:r w:rsidR="0006083E">
        <w:rPr>
          <w:rFonts w:ascii="Arial" w:hAnsi="Arial"/>
          <w:lang w:eastAsia="zh-CN"/>
        </w:rPr>
        <w:t xml:space="preserve"> </w:t>
      </w:r>
      <w:r w:rsidR="004B1EEB">
        <w:rPr>
          <w:rFonts w:ascii="Arial" w:hAnsi="Arial"/>
          <w:lang w:eastAsia="zh-CN"/>
        </w:rPr>
        <w:t xml:space="preserve">However, in our view, there is no </w:t>
      </w:r>
      <w:r w:rsidR="0006083E">
        <w:rPr>
          <w:rFonts w:ascii="Arial" w:hAnsi="Arial"/>
          <w:lang w:eastAsia="zh-CN"/>
        </w:rPr>
        <w:t>real benefit</w:t>
      </w:r>
      <w:r w:rsidR="004B1EEB">
        <w:rPr>
          <w:rFonts w:ascii="Arial" w:hAnsi="Arial"/>
          <w:lang w:eastAsia="zh-CN"/>
        </w:rPr>
        <w:t xml:space="preserve"> of sending </w:t>
      </w:r>
      <w:r w:rsidR="0006083E">
        <w:rPr>
          <w:rFonts w:ascii="Arial" w:hAnsi="Arial"/>
          <w:lang w:eastAsia="zh-CN"/>
        </w:rPr>
        <w:t xml:space="preserve">vehicle motion related measurements to the transmitter UE. </w:t>
      </w:r>
      <w:r w:rsidR="00660357">
        <w:rPr>
          <w:rFonts w:ascii="Arial" w:hAnsi="Arial"/>
          <w:lang w:eastAsia="zh-CN"/>
        </w:rPr>
        <w:t>The DMRS pattern can be selected based on transmitter UE speed</w:t>
      </w:r>
      <w:r w:rsidR="003556D6">
        <w:rPr>
          <w:rFonts w:ascii="Arial" w:hAnsi="Arial"/>
          <w:lang w:eastAsia="zh-CN"/>
        </w:rPr>
        <w:t xml:space="preserve">. Furthermore, the vehicle motion information will become out-dated relatively quickly due to high </w:t>
      </w:r>
      <w:r w:rsidR="005367EC">
        <w:rPr>
          <w:rFonts w:ascii="Arial" w:hAnsi="Arial"/>
          <w:lang w:eastAsia="zh-CN"/>
        </w:rPr>
        <w:t xml:space="preserve">mobility of the UEs. </w:t>
      </w:r>
      <w:r w:rsidR="003556D6">
        <w:rPr>
          <w:rFonts w:ascii="Arial" w:hAnsi="Arial"/>
          <w:lang w:eastAsia="zh-CN"/>
        </w:rPr>
        <w:t xml:space="preserve"> </w:t>
      </w:r>
      <w:r w:rsidR="004B1EEB">
        <w:rPr>
          <w:rFonts w:ascii="Arial" w:hAnsi="Arial"/>
          <w:lang w:eastAsia="zh-CN"/>
        </w:rPr>
        <w:t xml:space="preserve"> </w:t>
      </w:r>
    </w:p>
    <w:p w14:paraId="3F7210C3" w14:textId="1D5C5899" w:rsidR="00034AB8" w:rsidRDefault="00034AB8" w:rsidP="00034AB8">
      <w:pPr>
        <w:pStyle w:val="Proposal"/>
        <w:tabs>
          <w:tab w:val="num" w:pos="1304"/>
        </w:tabs>
        <w:overflowPunct/>
        <w:autoSpaceDE/>
        <w:autoSpaceDN/>
        <w:adjustRightInd/>
        <w:spacing w:line="259" w:lineRule="auto"/>
        <w:ind w:left="1304" w:hanging="1304"/>
        <w:textAlignment w:val="auto"/>
      </w:pPr>
      <w:bookmarkStart w:id="10" w:name="_Toc1051074"/>
      <w:bookmarkStart w:id="11" w:name="_Toc1135831"/>
      <w:r>
        <w:rPr>
          <w:rFonts w:cs="Arial"/>
        </w:rPr>
        <w:t>Vehicle motion related measurements, e.g., doppler spread and delay spread, are not reported back to the sidelink transmitter</w:t>
      </w:r>
      <w:r>
        <w:t>.</w:t>
      </w:r>
      <w:bookmarkEnd w:id="10"/>
      <w:bookmarkEnd w:id="11"/>
      <w:r>
        <w:t xml:space="preserve"> </w:t>
      </w:r>
    </w:p>
    <w:p w14:paraId="774C2E2C" w14:textId="52DC4613" w:rsidR="00A14C72" w:rsidRPr="00A14C72" w:rsidRDefault="00A14C72" w:rsidP="00A14C72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However, it is to be noted that</w:t>
      </w:r>
      <w:r w:rsidRPr="00A14C72">
        <w:rPr>
          <w:rFonts w:ascii="Arial" w:hAnsi="Arial"/>
          <w:lang w:eastAsia="zh-CN"/>
        </w:rPr>
        <w:t xml:space="preserve"> some additional interference information of the channel acquired at the receiver which may then be feedbacked to the transmitter can be useful in performing appropriate resource allocation.</w:t>
      </w:r>
      <w:r>
        <w:rPr>
          <w:rFonts w:ascii="Arial" w:hAnsi="Arial"/>
          <w:lang w:eastAsia="zh-CN"/>
        </w:rPr>
        <w:t xml:space="preserve"> </w:t>
      </w:r>
      <w:r w:rsidRPr="00A14C72">
        <w:rPr>
          <w:rFonts w:ascii="Arial" w:hAnsi="Arial"/>
          <w:lang w:eastAsia="zh-CN"/>
        </w:rPr>
        <w:t xml:space="preserve"> </w:t>
      </w:r>
    </w:p>
    <w:p w14:paraId="5300F849" w14:textId="0459E849" w:rsidR="00C01F33" w:rsidRPr="00CE0424" w:rsidRDefault="00C55F3E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7AFEA5AA" w14:textId="77777777" w:rsidR="006E1C82" w:rsidRDefault="008E065E" w:rsidP="004C0AAF">
      <w:pPr>
        <w:pStyle w:val="BodyText"/>
      </w:pPr>
      <w:bookmarkStart w:id="12" w:name="_GoBack"/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687688A" w14:textId="28535F11" w:rsidR="00051352" w:rsidRDefault="006E1C82" w:rsidP="004C0AA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35828" w:history="1">
        <w:r w:rsidR="00051352" w:rsidRPr="00B92FD0">
          <w:rPr>
            <w:rStyle w:val="Hyperlink"/>
            <w:noProof/>
          </w:rPr>
          <w:t>Proposal 1</w:t>
        </w:r>
        <w:r w:rsidR="0005135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051352" w:rsidRPr="00B92FD0">
          <w:rPr>
            <w:rStyle w:val="Hyperlink"/>
            <w:rFonts w:cs="Arial"/>
            <w:noProof/>
          </w:rPr>
          <w:t>RI report, wideband PMI and CQI reports are supported for sidelink unicast</w:t>
        </w:r>
        <w:r w:rsidR="00051352" w:rsidRPr="00B92FD0">
          <w:rPr>
            <w:rStyle w:val="Hyperlink"/>
            <w:noProof/>
          </w:rPr>
          <w:t>.</w:t>
        </w:r>
      </w:hyperlink>
    </w:p>
    <w:p w14:paraId="23C256B8" w14:textId="4BBC05AA" w:rsidR="00051352" w:rsidRDefault="00454DCF" w:rsidP="004C0AA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135829" w:history="1">
        <w:r w:rsidR="00051352" w:rsidRPr="00B92FD0">
          <w:rPr>
            <w:rStyle w:val="Hyperlink"/>
            <w:noProof/>
          </w:rPr>
          <w:t>Proposal 2</w:t>
        </w:r>
        <w:r w:rsidR="0005135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051352" w:rsidRPr="00B92FD0">
          <w:rPr>
            <w:rStyle w:val="Hyperlink"/>
            <w:rFonts w:cs="Arial"/>
            <w:noProof/>
          </w:rPr>
          <w:t>SRI and CRI are not introduced for sidelink at least for FR1</w:t>
        </w:r>
        <w:r w:rsidR="00051352" w:rsidRPr="00B92FD0">
          <w:rPr>
            <w:rStyle w:val="Hyperlink"/>
            <w:noProof/>
          </w:rPr>
          <w:t>.</w:t>
        </w:r>
      </w:hyperlink>
    </w:p>
    <w:p w14:paraId="7185897D" w14:textId="2C5934BC" w:rsidR="00051352" w:rsidRDefault="00454DCF" w:rsidP="004C0AA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135830" w:history="1">
        <w:r w:rsidR="00051352" w:rsidRPr="00B92FD0">
          <w:rPr>
            <w:rStyle w:val="Hyperlink"/>
            <w:noProof/>
          </w:rPr>
          <w:t>Proposal 3</w:t>
        </w:r>
        <w:r w:rsidR="0005135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051352" w:rsidRPr="00B92FD0">
          <w:rPr>
            <w:rStyle w:val="Hyperlink"/>
            <w:noProof/>
          </w:rPr>
          <w:t>RSRP is introduced to represent the pathgain or pathloss between a sidelink transmitter and a sidelink receiver.</w:t>
        </w:r>
      </w:hyperlink>
    </w:p>
    <w:p w14:paraId="2AF8668A" w14:textId="07346A72" w:rsidR="00051352" w:rsidRDefault="00454DCF" w:rsidP="004C0AA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135831" w:history="1">
        <w:r w:rsidR="00051352" w:rsidRPr="00B92FD0">
          <w:rPr>
            <w:rStyle w:val="Hyperlink"/>
            <w:noProof/>
          </w:rPr>
          <w:t>Proposal 4</w:t>
        </w:r>
        <w:r w:rsidR="00051352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051352" w:rsidRPr="00B92FD0">
          <w:rPr>
            <w:rStyle w:val="Hyperlink"/>
            <w:rFonts w:cs="Arial"/>
            <w:noProof/>
          </w:rPr>
          <w:t>Vehicle motion related measurements, e.g., doppler spread and delay spread, are not reported back to the sidelink transmitter</w:t>
        </w:r>
        <w:r w:rsidR="00051352" w:rsidRPr="00B92FD0">
          <w:rPr>
            <w:rStyle w:val="Hyperlink"/>
            <w:noProof/>
          </w:rPr>
          <w:t>.</w:t>
        </w:r>
      </w:hyperlink>
    </w:p>
    <w:p w14:paraId="3D2C92AC" w14:textId="03686215" w:rsidR="00C01F33" w:rsidRPr="0025051B" w:rsidRDefault="006E1C82" w:rsidP="004C0AAF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End w:id="12"/>
    </w:p>
    <w:p w14:paraId="7203AEF7" w14:textId="42686684" w:rsidR="00F507D1" w:rsidRPr="00CE0424" w:rsidRDefault="00C55F3E" w:rsidP="00CE0424">
      <w:pPr>
        <w:pStyle w:val="Heading1"/>
      </w:pPr>
      <w:bookmarkStart w:id="13" w:name="_In-sequence_SDU_delivery"/>
      <w:bookmarkEnd w:id="13"/>
      <w:r>
        <w:lastRenderedPageBreak/>
        <w:t>4</w:t>
      </w:r>
      <w:r>
        <w:tab/>
      </w:r>
      <w:r w:rsidR="00F507D1" w:rsidRPr="00CE0424">
        <w:t>References</w:t>
      </w:r>
    </w:p>
    <w:p w14:paraId="2C44725B" w14:textId="355FF396" w:rsidR="00CA3715" w:rsidRPr="0010037D" w:rsidRDefault="00CA3715" w:rsidP="00CA3715">
      <w:pPr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textAlignment w:val="auto"/>
        <w:rPr>
          <w:rFonts w:ascii="Arial" w:hAnsi="Arial" w:cs="Arial"/>
          <w:noProof/>
        </w:rPr>
      </w:pPr>
      <w:bookmarkStart w:id="14" w:name="_Ref1050921"/>
      <w:r w:rsidRPr="00E44C46">
        <w:rPr>
          <w:rFonts w:ascii="Arial" w:hAnsi="Arial" w:cs="Arial"/>
          <w:lang w:eastAsia="zh-CN"/>
        </w:rPr>
        <w:t>R1-</w:t>
      </w:r>
      <w:r w:rsidR="00E44C46" w:rsidRPr="00E44C46">
        <w:rPr>
          <w:rFonts w:ascii="Arial" w:hAnsi="Arial" w:cs="Arial"/>
          <w:lang w:eastAsia="zh-CN"/>
        </w:rPr>
        <w:t>1903164</w:t>
      </w:r>
      <w:r w:rsidRPr="0010037D">
        <w:rPr>
          <w:rFonts w:ascii="Arial" w:hAnsi="Arial" w:cs="Arial"/>
          <w:lang w:eastAsia="zh-CN"/>
        </w:rPr>
        <w:t>, “Remaining details on PHY procedures for Rel. 16 NR V2X”, Ericsson, RAN1 #96, Feb. 2019.</w:t>
      </w:r>
    </w:p>
    <w:p w14:paraId="3A8FC0D5" w14:textId="41C19904" w:rsidR="00B176C3" w:rsidRPr="00987CFA" w:rsidRDefault="00B176C3" w:rsidP="00B176C3">
      <w:pPr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jc w:val="both"/>
        <w:textAlignment w:val="auto"/>
        <w:rPr>
          <w:rFonts w:ascii="Arial" w:hAnsi="Arial"/>
          <w:lang w:val="en-US" w:eastAsia="zh-CN"/>
        </w:rPr>
      </w:pPr>
      <w:bookmarkStart w:id="15" w:name="_Ref528137576"/>
      <w:bookmarkStart w:id="16" w:name="_Ref1046730"/>
      <w:bookmarkEnd w:id="14"/>
      <w:r w:rsidRPr="0010037D">
        <w:rPr>
          <w:rFonts w:ascii="Arial" w:hAnsi="Arial"/>
          <w:lang w:val="en-US" w:eastAsia="zh-CN"/>
        </w:rPr>
        <w:t>R1-</w:t>
      </w:r>
      <w:r w:rsidR="005C15B6" w:rsidRPr="005C15B6">
        <w:rPr>
          <w:rFonts w:ascii="Arial" w:hAnsi="Arial"/>
          <w:lang w:val="en-US" w:eastAsia="zh-CN"/>
        </w:rPr>
        <w:t>1903181</w:t>
      </w:r>
      <w:r w:rsidRPr="0010037D">
        <w:rPr>
          <w:rFonts w:ascii="Arial" w:hAnsi="Arial"/>
          <w:lang w:val="en-US" w:eastAsia="zh-CN"/>
        </w:rPr>
        <w:t>, “Link level evaluations of NR PSSCH,”</w:t>
      </w:r>
      <w:bookmarkEnd w:id="15"/>
      <w:r w:rsidRPr="00987CFA">
        <w:rPr>
          <w:rFonts w:ascii="Arial" w:hAnsi="Arial"/>
          <w:lang w:val="en-US" w:eastAsia="zh-CN"/>
        </w:rPr>
        <w:t xml:space="preserve"> Ericsson, RAN1 #96, Feb. 2019.</w:t>
      </w:r>
    </w:p>
    <w:bookmarkEnd w:id="16"/>
    <w:p w14:paraId="4A40A243" w14:textId="4F2F4168" w:rsidR="00130CCD" w:rsidRPr="0010037D" w:rsidRDefault="00987CFA" w:rsidP="00130CCD">
      <w:pPr>
        <w:numPr>
          <w:ilvl w:val="0"/>
          <w:numId w:val="2"/>
        </w:numPr>
        <w:overflowPunct/>
        <w:autoSpaceDE/>
        <w:autoSpaceDN/>
        <w:adjustRightInd/>
        <w:spacing w:after="120" w:line="259" w:lineRule="auto"/>
        <w:textAlignment w:val="auto"/>
        <w:rPr>
          <w:rFonts w:ascii="Arial" w:hAnsi="Arial" w:cs="Arial"/>
          <w:noProof/>
        </w:rPr>
      </w:pPr>
      <w:r w:rsidRPr="00987CFA">
        <w:rPr>
          <w:rFonts w:ascii="Arial" w:hAnsi="Arial"/>
          <w:lang w:val="en-US" w:eastAsia="zh-CN"/>
        </w:rPr>
        <w:t>R1-1903175</w:t>
      </w:r>
      <w:r w:rsidR="00130CCD" w:rsidRPr="00987CFA">
        <w:rPr>
          <w:rFonts w:ascii="Arial" w:hAnsi="Arial"/>
          <w:lang w:val="en-US" w:eastAsia="zh-CN"/>
        </w:rPr>
        <w:t>, “</w:t>
      </w:r>
      <w:r w:rsidR="00130CCD" w:rsidRPr="0010037D">
        <w:rPr>
          <w:rFonts w:ascii="Arial" w:hAnsi="Arial" w:cs="Arial"/>
          <w:noProof/>
        </w:rPr>
        <w:t>Details on CSIT acquisition for SL unicast”,</w:t>
      </w:r>
      <w:r w:rsidR="00130CCD" w:rsidRPr="0010037D">
        <w:rPr>
          <w:rFonts w:ascii="Arial" w:hAnsi="Arial"/>
          <w:lang w:eastAsia="zh-CN"/>
        </w:rPr>
        <w:t xml:space="preserve"> Ericsson</w:t>
      </w:r>
      <w:r w:rsidR="00130CCD" w:rsidRPr="0010037D">
        <w:rPr>
          <w:rFonts w:ascii="Arial" w:hAnsi="Arial" w:cs="Arial"/>
          <w:lang w:eastAsia="zh-CN"/>
        </w:rPr>
        <w:t>, RAN1 #96, Feb. 2019.</w:t>
      </w:r>
    </w:p>
    <w:p w14:paraId="249D51C1" w14:textId="77777777" w:rsidR="0025051B" w:rsidRDefault="0025051B" w:rsidP="0025051B">
      <w:pPr>
        <w:pStyle w:val="Reference"/>
        <w:numPr>
          <w:ilvl w:val="0"/>
          <w:numId w:val="0"/>
        </w:numPr>
        <w:overflowPunct/>
        <w:autoSpaceDE/>
        <w:autoSpaceDN/>
        <w:adjustRightInd/>
        <w:spacing w:line="259" w:lineRule="auto"/>
        <w:textAlignment w:val="auto"/>
      </w:pPr>
    </w:p>
    <w:p w14:paraId="0034D3CC" w14:textId="77777777" w:rsidR="003A7EF3" w:rsidRPr="00CE0424" w:rsidRDefault="003A7EF3" w:rsidP="00034AB8">
      <w:pPr>
        <w:pStyle w:val="Reference"/>
        <w:numPr>
          <w:ilvl w:val="0"/>
          <w:numId w:val="0"/>
        </w:numPr>
        <w:overflowPunct/>
        <w:autoSpaceDE/>
        <w:autoSpaceDN/>
        <w:adjustRightInd/>
        <w:spacing w:line="259" w:lineRule="auto"/>
        <w:ind w:left="567"/>
        <w:textAlignment w:val="auto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65A1C" w14:textId="77777777" w:rsidR="00454DCF" w:rsidRDefault="00454DCF">
      <w:r>
        <w:separator/>
      </w:r>
    </w:p>
  </w:endnote>
  <w:endnote w:type="continuationSeparator" w:id="0">
    <w:p w14:paraId="131A32DB" w14:textId="77777777" w:rsidR="00454DCF" w:rsidRDefault="00454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4FDDA" w14:textId="77777777" w:rsidR="00454DCF" w:rsidRDefault="00454DCF">
      <w:r>
        <w:separator/>
      </w:r>
    </w:p>
  </w:footnote>
  <w:footnote w:type="continuationSeparator" w:id="0">
    <w:p w14:paraId="0BAEAAC6" w14:textId="77777777" w:rsidR="00454DCF" w:rsidRDefault="00454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B468FB"/>
    <w:multiLevelType w:val="hybridMultilevel"/>
    <w:tmpl w:val="1CCC3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62C0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5"/>
  </w:num>
  <w:num w:numId="20">
    <w:abstractNumId w:val="22"/>
  </w:num>
  <w:num w:numId="21">
    <w:abstractNumId w:val="11"/>
  </w:num>
  <w:num w:numId="22">
    <w:abstractNumId w:val="21"/>
  </w:num>
  <w:num w:numId="2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0BDB"/>
    <w:rsid w:val="00011B28"/>
    <w:rsid w:val="00015D15"/>
    <w:rsid w:val="0002564D"/>
    <w:rsid w:val="00025ECA"/>
    <w:rsid w:val="000325B8"/>
    <w:rsid w:val="00034AB8"/>
    <w:rsid w:val="00034C15"/>
    <w:rsid w:val="00036BA1"/>
    <w:rsid w:val="000422E2"/>
    <w:rsid w:val="00042F22"/>
    <w:rsid w:val="000444EF"/>
    <w:rsid w:val="00051352"/>
    <w:rsid w:val="00052A07"/>
    <w:rsid w:val="000534E3"/>
    <w:rsid w:val="0005606A"/>
    <w:rsid w:val="00057117"/>
    <w:rsid w:val="0006083E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3EA0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2E51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CCD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666"/>
    <w:rsid w:val="001C1CE5"/>
    <w:rsid w:val="001C25A6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ABF"/>
    <w:rsid w:val="00230D18"/>
    <w:rsid w:val="002319E4"/>
    <w:rsid w:val="00235632"/>
    <w:rsid w:val="00235872"/>
    <w:rsid w:val="00241559"/>
    <w:rsid w:val="002435B3"/>
    <w:rsid w:val="002458EB"/>
    <w:rsid w:val="002500C8"/>
    <w:rsid w:val="0025051B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56D6"/>
    <w:rsid w:val="00357380"/>
    <w:rsid w:val="003602D9"/>
    <w:rsid w:val="003604CE"/>
    <w:rsid w:val="00360904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8CF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4DCF"/>
    <w:rsid w:val="00457565"/>
    <w:rsid w:val="00457B71"/>
    <w:rsid w:val="004669E2"/>
    <w:rsid w:val="00470C31"/>
    <w:rsid w:val="00471DE0"/>
    <w:rsid w:val="004734D0"/>
    <w:rsid w:val="0047556B"/>
    <w:rsid w:val="00477768"/>
    <w:rsid w:val="00486F1D"/>
    <w:rsid w:val="00492BC5"/>
    <w:rsid w:val="004964F1"/>
    <w:rsid w:val="004A16BC"/>
    <w:rsid w:val="004A2B94"/>
    <w:rsid w:val="004B1EEB"/>
    <w:rsid w:val="004B6F6A"/>
    <w:rsid w:val="004B7C0C"/>
    <w:rsid w:val="004C0AAF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F24"/>
    <w:rsid w:val="00506557"/>
    <w:rsid w:val="0050677A"/>
    <w:rsid w:val="005108D8"/>
    <w:rsid w:val="005116F9"/>
    <w:rsid w:val="00515199"/>
    <w:rsid w:val="005153A7"/>
    <w:rsid w:val="005219CF"/>
    <w:rsid w:val="00534B59"/>
    <w:rsid w:val="00536759"/>
    <w:rsid w:val="005367EC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15B6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357"/>
    <w:rsid w:val="006607C0"/>
    <w:rsid w:val="006613A6"/>
    <w:rsid w:val="006627A2"/>
    <w:rsid w:val="006634E6"/>
    <w:rsid w:val="006655EE"/>
    <w:rsid w:val="00667EE7"/>
    <w:rsid w:val="00670922"/>
    <w:rsid w:val="00670BE1"/>
    <w:rsid w:val="00671E4E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FED"/>
    <w:rsid w:val="00695FC2"/>
    <w:rsid w:val="00696949"/>
    <w:rsid w:val="00697052"/>
    <w:rsid w:val="006A0276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5F08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F53"/>
    <w:rsid w:val="008376AC"/>
    <w:rsid w:val="0084309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78F2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CFA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4C72"/>
    <w:rsid w:val="00A15A0B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4248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E62D3"/>
    <w:rsid w:val="00AF1C5D"/>
    <w:rsid w:val="00AF42D7"/>
    <w:rsid w:val="00B006FE"/>
    <w:rsid w:val="00B007CB"/>
    <w:rsid w:val="00B02AA9"/>
    <w:rsid w:val="00B02FA3"/>
    <w:rsid w:val="00B05084"/>
    <w:rsid w:val="00B157F9"/>
    <w:rsid w:val="00B176C3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35D0"/>
    <w:rsid w:val="00BA56D2"/>
    <w:rsid w:val="00BA76E0"/>
    <w:rsid w:val="00BB10A7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55F3E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371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0BF7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2E22"/>
    <w:rsid w:val="00DA305E"/>
    <w:rsid w:val="00DA5417"/>
    <w:rsid w:val="00DA56E8"/>
    <w:rsid w:val="00DB0A9F"/>
    <w:rsid w:val="00DB377D"/>
    <w:rsid w:val="00DC2D36"/>
    <w:rsid w:val="00DC53EF"/>
    <w:rsid w:val="00DD3D26"/>
    <w:rsid w:val="00DE5608"/>
    <w:rsid w:val="00DE58D0"/>
    <w:rsid w:val="00DE654F"/>
    <w:rsid w:val="00DF0B6E"/>
    <w:rsid w:val="00DF15E0"/>
    <w:rsid w:val="00DF37A0"/>
    <w:rsid w:val="00E03698"/>
    <w:rsid w:val="00E070CF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A1A"/>
    <w:rsid w:val="00E44C46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7D63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0C3C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1A53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4D9"/>
    <w:rsid w:val="00FB4C80"/>
    <w:rsid w:val="00FB6A6A"/>
    <w:rsid w:val="00FC33E8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customStyle="1" w:styleId="LGTdoc">
    <w:name w:val="LGTdoc_본문"/>
    <w:basedOn w:val="Normal"/>
    <w:link w:val="LGTdocChar"/>
    <w:qFormat/>
    <w:rsid w:val="00034AB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34AB8"/>
    <w:rPr>
      <w:rFonts w:ascii="Times New Roman" w:eastAsia="Batang" w:hAnsi="Times New Roman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628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2019-02-15T17:16:00Z</dcterms:created>
  <dcterms:modified xsi:type="dcterms:W3CDTF">2019-02-15T17:20:00Z</dcterms:modified>
  <cp:category/>
</cp:coreProperties>
</file>